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86MS0079-01-2024-007533-77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05-0960/2615/2024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</w:t>
      </w:r>
      <w:r>
        <w:rPr>
          <w:rFonts w:ascii="Times New Roman" w:eastAsia="Times New Roman" w:hAnsi="Times New Roman" w:cs="Times New Roman"/>
          <w:sz w:val="26"/>
          <w:szCs w:val="26"/>
        </w:rPr>
        <w:t>Рамиля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Равилевича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«СУРГУТПРОМСТРОЙ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налоговую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налогу, уплачиваемому в связи с применяем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прощенной сист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еме налогообложения за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РФ, п. 1 ст. 346.23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.03.202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346.23 НК РФ По итогам </w:t>
      </w:r>
      <w:hyperlink r:id="rId4" w:anchor="dst10368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anchor="dst100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организации - не позднее 25 марта года, следующего за истекшим налоговым периодом (за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пунктами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79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Р.Р.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</w:t>
      </w:r>
      <w:r>
        <w:rPr>
          <w:rFonts w:ascii="Times New Roman" w:eastAsia="Times New Roman" w:hAnsi="Times New Roman" w:cs="Times New Roman"/>
          <w:sz w:val="26"/>
          <w:szCs w:val="26"/>
        </w:rPr>
        <w:t>Рамиля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Равилевича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1rplc-35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  <w:jc w:val="both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5">
    <w:name w:val="cat-UserDefined grp-4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7513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yperlink" Target="https://www.consultant.ru/document/cons_doc_LAW_454134/051edffc72ec0bb6fb9c14a883b2ec4de75cfe8c/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